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napToGrid w:val="0"/>
        <w:spacing w:before="0" w:beforeAutospacing="1" w:after="0" w:afterAutospacing="1"/>
        <w:ind w:left="0" w:right="76"/>
        <w:jc w:val="center"/>
        <w:rPr>
          <w:rFonts w:ascii="黑体" w:hAnsi="ˎ̥" w:eastAsia="黑体" w:cs="黑体"/>
          <w:kern w:val="0"/>
          <w:sz w:val="44"/>
          <w:szCs w:val="44"/>
          <w:shd w:val="clear" w:fill="FFFFFF"/>
          <w:lang w:val="en-US" w:eastAsia="zh-CN" w:bidi="ar"/>
        </w:rPr>
      </w:pPr>
    </w:p>
    <w:p>
      <w:pPr>
        <w:keepNext w:val="0"/>
        <w:keepLines w:val="0"/>
        <w:widowControl/>
        <w:suppressLineNumbers w:val="0"/>
        <w:snapToGrid w:val="0"/>
        <w:spacing w:before="0" w:beforeAutospacing="1" w:after="0" w:afterAutospacing="1"/>
        <w:ind w:left="0" w:right="76"/>
        <w:jc w:val="center"/>
      </w:pPr>
      <w:r>
        <w:rPr>
          <w:rFonts w:ascii="黑体" w:hAnsi="ˎ̥" w:eastAsia="黑体" w:cs="黑体"/>
          <w:kern w:val="0"/>
          <w:sz w:val="44"/>
          <w:szCs w:val="44"/>
          <w:shd w:val="clear" w:fill="FFFFFF"/>
          <w:lang w:val="en-US" w:eastAsia="zh-CN" w:bidi="ar"/>
        </w:rPr>
        <w:t>海南省</w:t>
      </w:r>
      <w:r>
        <w:rPr>
          <w:rFonts w:hint="eastAsia" w:ascii="黑体" w:hAnsi="ˎ̥" w:eastAsia="黑体" w:cs="黑体"/>
          <w:kern w:val="0"/>
          <w:sz w:val="44"/>
          <w:szCs w:val="44"/>
          <w:shd w:val="clear" w:fill="FFFFFF"/>
          <w:lang w:val="en-US" w:eastAsia="zh-CN" w:bidi="ar"/>
        </w:rPr>
        <w:t>外事侨务办公室2015年度部门决算</w:t>
      </w:r>
    </w:p>
    <w:p>
      <w:pPr>
        <w:keepNext w:val="0"/>
        <w:keepLines w:val="0"/>
        <w:widowControl/>
        <w:suppressLineNumbers w:val="0"/>
        <w:snapToGrid w:val="0"/>
        <w:spacing w:before="0" w:beforeAutospacing="1" w:after="0" w:afterAutospacing="1"/>
        <w:ind w:left="0" w:right="76" w:firstLine="640" w:firstLineChars="200"/>
        <w:jc w:val="left"/>
        <w:rPr>
          <w:rFonts w:hint="eastAsia" w:ascii="黑体" w:hAnsi="ˎ̥" w:eastAsia="黑体" w:cs="黑体"/>
          <w:kern w:val="0"/>
          <w:sz w:val="32"/>
          <w:szCs w:val="32"/>
          <w:shd w:val="clear" w:fill="FFFFFF"/>
          <w:lang w:val="en-US" w:eastAsia="zh-CN" w:bidi="ar"/>
        </w:rPr>
      </w:pPr>
    </w:p>
    <w:p>
      <w:pPr>
        <w:keepNext w:val="0"/>
        <w:keepLines w:val="0"/>
        <w:widowControl/>
        <w:suppressLineNumbers w:val="0"/>
        <w:snapToGrid w:val="0"/>
        <w:spacing w:before="0" w:beforeAutospacing="1" w:after="0" w:afterAutospacing="1"/>
        <w:ind w:left="0" w:right="76" w:firstLine="640" w:firstLineChars="200"/>
        <w:jc w:val="left"/>
      </w:pPr>
      <w:r>
        <w:rPr>
          <w:rFonts w:hint="eastAsia" w:ascii="黑体" w:hAnsi="ˎ̥" w:eastAsia="黑体" w:cs="黑体"/>
          <w:kern w:val="0"/>
          <w:sz w:val="32"/>
          <w:szCs w:val="32"/>
          <w:shd w:val="clear" w:fill="FFFFFF"/>
          <w:lang w:val="en-US" w:eastAsia="zh-CN" w:bidi="ar"/>
        </w:rPr>
        <w:t>一、部门概况</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0" w:firstLineChars="200"/>
        <w:jc w:val="left"/>
        <w:textAlignment w:val="auto"/>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1.部门（单位）主要职能：</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0" w:firstLineChars="200"/>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海南省外事侨务办公室，为主管全省外事、侨务、港澳事务和引进外国智力工作的省政府组成部门。其主要职责如下：</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400" w:lineRule="exact"/>
        <w:ind w:left="0" w:leftChars="0" w:right="76" w:rightChars="0" w:firstLine="0" w:firstLineChars="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（一）贯彻执行党和国家有关外事、侨务、港澳工作的方针政策、法律、法规，依法拟定并组织实施全省外事侨务、港澳事务和引进国外智力工作的政策、法规和规章，以及发展规划、计划。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0" w:leftChars="0" w:right="76" w:rightChars="0" w:firstLine="0" w:firstLineChars="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（二）负责归口统筹和协调全省外事、侨务、港澳工作。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0" w:leftChars="0" w:right="76" w:rightChars="0" w:firstLine="0" w:firstLineChars="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（三）负责全省临时因公出国（境）审批或审核工作和办理有关护照、签证等其他领事业务。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0" w:leftChars="0" w:right="76" w:rightChars="0" w:firstLine="0" w:firstLineChars="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（四）负责全省国际交流事务，承办邀请和接待外国官方代表团及重要外宾、华侨华人和港澳地区重要人士来访事宜；承办省级领导对外交往事务。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0" w:leftChars="0" w:right="76" w:rightChars="0" w:firstLine="0" w:firstLineChars="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（五）负责统筹协调在本省举行的博鳌亚洲论坛年会等重大国际活动并组织策划本省相关活动，指导协调省内单位和人员参与国际活动。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0" w:leftChars="0" w:right="76" w:rightChars="0" w:firstLine="0" w:firstLineChars="0"/>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（六）负责本省对外缔结友好关系的协调、报批工作；指导全省民间对外交往工作。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（七）联系外国驻华使领馆和国际组织驻华机构及我驻外使领馆和其他驻外机构，负责与外国领事机构的交往活动，负责外国驻本省领事机构的管理服务工作。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（八）负责领事保护和协助工作，协调有关部门和地方政府处理涉及边界、海洋和境内的涉外案件。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（九）会同有关部门管理本省边界事务和边境地区、口岸的涉外事宜，指导并参与边防会谈工作，提出涉外安全工作建议，牵头协调境外非政府组织在琼活动管理工作。</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（十）负责提供国际形势、对外政策和重大国际问题的宣传材料和统一对外表态口径，发布本省重要外事侨务活动信息，配合和协助有关部门开展对外宣传工作。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（十一）依法管理外国和港澳特别行政区驻本省的新闻机构和常驻记者，协调外国和港澳媒体记者来琼采访活动。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十二）依法组织协调归侨、侨眷及港澳同胞在琼眷属和华侨华人在琼合法权益维护工作，负责侨务信访工作，协调配合有关部门处理涉侨、涉港澳同胞及其眷属信访、投诉案件，负责对华侨捐赠工作的指导、协调、服务、管理和监督工作，协助有关部门做好归侨侨眷代表人士的人事安排工作。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（十三）负责指导和开展对华侨华人、港澳同胞及其社团的联谊、服务工作，指导推动涉侨、涉港澳地区经济、科技、宣传、文化交流合作和华文教育工作。会同有关部门开展侨务对台工作。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（十四）负责全省引进国外智力工作和在琼外国专家的管理服务工作，负责因公出国（境）培训项目计划和引进外国专家项目计划的申报、组织实施工作。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（十五）负责海南印支难民接待安置和管理工作；协调、指导省侨务工会工作。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（十六）负责对所属事业单位贯彻执行党和国家的方针政策、法律、法规、规章的检查监督，协同有关部门监管其非经营性国有资产。 </w:t>
      </w:r>
    </w:p>
    <w:p>
      <w:pPr>
        <w:pStyle w:val="2"/>
        <w:keepNext/>
        <w:keepLines w:val="0"/>
        <w:pageBreakBefore w:val="0"/>
        <w:widowControl w:val="0"/>
        <w:kinsoku/>
        <w:wordWrap/>
        <w:overflowPunct/>
        <w:topLinePunct w:val="0"/>
        <w:autoSpaceDE/>
        <w:autoSpaceDN/>
        <w:bidi w:val="0"/>
        <w:adjustRightInd/>
        <w:snapToGrid/>
        <w:spacing w:before="157" w:beforeLines="50" w:after="0" w:afterAutospacing="0" w:line="400" w:lineRule="exact"/>
        <w:ind w:left="0" w:leftChars="0" w:right="0" w:rightChars="0" w:firstLine="0" w:firstLineChars="0"/>
        <w:jc w:val="both"/>
        <w:textAlignment w:val="auto"/>
        <w:outlineLvl w:val="0"/>
        <w:rPr>
          <w:rFonts w:hint="eastAsia" w:ascii="仿宋" w:hAnsi="仿宋" w:eastAsia="仿宋" w:cs="仿宋"/>
          <w:kern w:val="0"/>
          <w:sz w:val="32"/>
          <w:szCs w:val="32"/>
          <w:shd w:val="clear" w:fill="FFFFFF"/>
          <w:lang w:val="en-US" w:eastAsia="zh-CN" w:bidi="ar"/>
        </w:rPr>
      </w:pPr>
      <w:r>
        <w:rPr>
          <w:rFonts w:hint="eastAsia" w:ascii="仿宋" w:hAnsi="仿宋" w:eastAsia="仿宋" w:cs="仿宋"/>
          <w:b w:val="0"/>
          <w:bCs/>
          <w:sz w:val="32"/>
          <w:szCs w:val="32"/>
          <w:lang w:val="en-US" w:eastAsia="zh-CN"/>
        </w:rPr>
        <w:t xml:space="preserve">   （十七）承办省政府和上级部门交办的其他事项；指导市县外事、侨务、港澳事务、引进外国智力工作。 </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t>2.部门决算单位构成</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400" w:lineRule="exact"/>
        <w:ind w:left="0" w:right="76" w:rightChars="0" w:firstLine="640" w:firstLineChars="200"/>
        <w:jc w:val="left"/>
        <w:textAlignment w:val="auto"/>
        <w:outlineLvl w:val="9"/>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t>纳入海南省外事侨务办公室部门2015年度部门决算编制范围的二级预算单位包括：</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Chars="200" w:right="76" w:rightChars="0"/>
        <w:jc w:val="left"/>
        <w:textAlignment w:val="auto"/>
        <w:outlineLvl w:val="9"/>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t>（1）海南省外事侨务办公室部门本级</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Chars="200" w:right="76" w:rightChars="0"/>
        <w:jc w:val="left"/>
        <w:textAlignment w:val="auto"/>
        <w:outlineLvl w:val="9"/>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t>（2）中国南海研究院</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Chars="200" w:right="76" w:rightChars="0"/>
        <w:jc w:val="left"/>
        <w:textAlignment w:val="auto"/>
        <w:outlineLvl w:val="9"/>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t>（3）海南省接待安置印支难民办公室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400" w:lineRule="exact"/>
        <w:ind w:leftChars="200" w:right="76" w:rightChars="0"/>
        <w:jc w:val="left"/>
        <w:textAlignment w:val="auto"/>
        <w:outlineLvl w:val="9"/>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t>（4）中国南海研究院</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黑体" w:hAnsi="黑体" w:eastAsia="黑体" w:cs="黑体"/>
          <w:sz w:val="32"/>
          <w:szCs w:val="32"/>
        </w:rPr>
      </w:pPr>
      <w:r>
        <w:rPr>
          <w:rFonts w:hint="eastAsia" w:ascii="黑体" w:hAnsi="黑体" w:eastAsia="黑体" w:cs="黑体"/>
          <w:kern w:val="0"/>
          <w:sz w:val="32"/>
          <w:szCs w:val="32"/>
          <w:shd w:val="clear" w:fill="FFFFFF"/>
          <w:lang w:val="en-US" w:eastAsia="zh-CN" w:bidi="ar"/>
        </w:rPr>
        <w:t>二、2015年度部门决算报表</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1. 收入支出决算总表（见附表1）</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2. 收入决算表（见附表2）</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3. 支出决算表（见附表3）</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4. 财政拨款收入支出决算总表（见附表4）</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5. 一般公共预算财政拨款支出决算表（见附表5）</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6. 一般公共预算财政拨款基本支出决算表（见附表6）</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 xml:space="preserve">7. </w:t>
      </w:r>
      <w:bookmarkStart w:id="0" w:name="_GoBack"/>
      <w:r>
        <w:rPr>
          <w:rFonts w:hint="eastAsia" w:ascii="仿宋" w:hAnsi="仿宋" w:eastAsia="仿宋" w:cs="仿宋"/>
          <w:kern w:val="0"/>
          <w:sz w:val="32"/>
          <w:szCs w:val="32"/>
          <w:shd w:val="clear" w:fill="FFFFFF"/>
          <w:lang w:val="en-US" w:eastAsia="zh-CN" w:bidi="ar"/>
        </w:rPr>
        <w:t>一般公共预算财政拨款“三公”经费支出决算表（见</w:t>
      </w:r>
      <w:bookmarkEnd w:id="0"/>
      <w:r>
        <w:rPr>
          <w:rFonts w:hint="eastAsia" w:ascii="仿宋" w:hAnsi="仿宋" w:eastAsia="仿宋" w:cs="仿宋"/>
          <w:kern w:val="0"/>
          <w:sz w:val="32"/>
          <w:szCs w:val="32"/>
          <w:shd w:val="clear" w:fill="FFFFFF"/>
          <w:lang w:val="en-US" w:eastAsia="zh-CN" w:bidi="ar"/>
        </w:rPr>
        <w:t>附表7）</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8. 政府性基金预算财政拨款收入支出决算表（见附表8）</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0" w:firstLineChars="200"/>
        <w:jc w:val="left"/>
        <w:textAlignment w:val="auto"/>
        <w:rPr>
          <w:rFonts w:hint="eastAsia" w:ascii="黑体" w:hAnsi="黑体" w:eastAsia="黑体" w:cs="黑体"/>
          <w:sz w:val="32"/>
          <w:szCs w:val="32"/>
        </w:rPr>
      </w:pPr>
      <w:r>
        <w:rPr>
          <w:rFonts w:hint="eastAsia" w:ascii="黑体" w:hAnsi="黑体" w:eastAsia="黑体" w:cs="黑体"/>
          <w:kern w:val="0"/>
          <w:sz w:val="32"/>
          <w:szCs w:val="32"/>
          <w:shd w:val="clear" w:fill="FFFFFF"/>
          <w:lang w:val="en-US" w:eastAsia="zh-CN" w:bidi="ar"/>
        </w:rPr>
        <w:t>三、2015年度部门决算情况说明</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27" w:firstLineChars="196"/>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关于海南省外事侨务办公室2015年度收入支出决算总体情况说明</w:t>
      </w:r>
      <w:r>
        <w:rPr>
          <w:rFonts w:hint="eastAsia" w:ascii="仿宋" w:hAnsi="仿宋" w:eastAsia="仿宋" w:cs="仿宋"/>
          <w:kern w:val="0"/>
          <w:sz w:val="32"/>
          <w:szCs w:val="32"/>
          <w:shd w:val="clear" w:fill="FFFFFF"/>
          <w:lang w:val="en-US" w:eastAsia="zh-CN" w:bidi="ar"/>
        </w:rPr>
        <w:br w:type="textWrapping"/>
      </w:r>
      <w:r>
        <w:rPr>
          <w:rFonts w:hint="eastAsia" w:ascii="仿宋" w:hAnsi="仿宋" w:eastAsia="仿宋" w:cs="仿宋"/>
          <w:kern w:val="0"/>
          <w:sz w:val="32"/>
          <w:szCs w:val="32"/>
          <w:shd w:val="clear" w:fill="FFFFFF"/>
          <w:lang w:val="en-US" w:eastAsia="zh-CN" w:bidi="ar"/>
        </w:rPr>
        <w:t xml:space="preserve">    海南省外事侨务办公室2015年度部门决算收入总计5,983.29万元，支出总计5,730.85万元。与2014年度相比，收入减少39.49万元，下降约0.66%，支出增加651.48万元，增长约12.83%。</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 xml:space="preserve">   （二）关于海南省外事侨务办公室2015年度收入决算情况说明</w:t>
      </w:r>
      <w:r>
        <w:rPr>
          <w:rFonts w:hint="eastAsia" w:ascii="仿宋" w:hAnsi="仿宋" w:eastAsia="仿宋" w:cs="仿宋"/>
          <w:kern w:val="0"/>
          <w:sz w:val="32"/>
          <w:szCs w:val="32"/>
          <w:shd w:val="clear" w:fill="FFFFFF"/>
          <w:lang w:val="en-US" w:eastAsia="zh-CN" w:bidi="ar"/>
        </w:rPr>
        <w:br w:type="textWrapping"/>
      </w:r>
      <w:r>
        <w:rPr>
          <w:rFonts w:hint="eastAsia" w:ascii="仿宋" w:hAnsi="仿宋" w:eastAsia="仿宋" w:cs="仿宋"/>
          <w:kern w:val="0"/>
          <w:sz w:val="32"/>
          <w:szCs w:val="32"/>
          <w:shd w:val="clear" w:fill="FFFFFF"/>
          <w:lang w:val="en-US" w:eastAsia="zh-CN" w:bidi="ar"/>
        </w:rPr>
        <w:t xml:space="preserve">    本年收入合计5,983.29万元，其中：财政拨款收入5,752.95万元，占96.15%;其他收入230.34万元，占3.85%。</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30" w:firstLineChars="196"/>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（三）关于海南省外事侨务办公室2015年度支出决算情况说明</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本年支出合计5,730.85万元，其中：基本支出2,339.58万元，占40.82%；项目支出3,391.27万元，占59.18%。</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30" w:firstLineChars="196"/>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（四）关于海南省外事侨务办公室2015年度财政拨款收入支出决算总体情况说明</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w w:val="95"/>
          <w:kern w:val="0"/>
          <w:sz w:val="32"/>
          <w:szCs w:val="32"/>
          <w:shd w:val="clear" w:fill="FFFFFF"/>
          <w:lang w:val="en-US" w:eastAsia="zh-CN" w:bidi="ar"/>
        </w:rPr>
        <w:t>海南省外事侨务办公室2015年度财政拨款收入为</w:t>
      </w:r>
      <w:r>
        <w:rPr>
          <w:rFonts w:hint="eastAsia" w:ascii="仿宋" w:hAnsi="仿宋" w:eastAsia="仿宋" w:cs="仿宋"/>
          <w:kern w:val="0"/>
          <w:sz w:val="32"/>
          <w:szCs w:val="32"/>
          <w:shd w:val="clear" w:fill="FFFFFF"/>
          <w:lang w:val="en-US" w:eastAsia="zh-CN" w:bidi="ar"/>
        </w:rPr>
        <w:t>5,752.95万元，财政拨款支出为5,487.43万元。与2014年度相比，收入增加了483.54万元，增长约9.18%。支出增加了848.01万元，增长约18.28%。</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30" w:firstLineChars="196"/>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（五）关于海南省外事侨务办公室2015年度一般公共预算财政拨款支出决算情况说明</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1.财政拨款支出决算总体情况海南省外事侨务办公室2015年度公共预算财政拨款支出5,487.43万元，占本年支出合计的95.75%。与2014年度相比，财政拨款支出增加848.01万元，增长18.28%。</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2. 财政拨款支出决算结构情况</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0" w:firstLineChars="200"/>
        <w:jc w:val="left"/>
        <w:textAlignment w:val="auto"/>
        <w:outlineLvl w:val="9"/>
        <w:rPr>
          <w:rFonts w:hint="eastAsia" w:ascii="仿宋" w:hAnsi="仿宋" w:eastAsia="仿宋" w:cs="仿宋"/>
          <w:b w:val="0"/>
          <w:bCs/>
          <w:kern w:val="0"/>
          <w:sz w:val="32"/>
          <w:szCs w:val="32"/>
          <w:shd w:val="clear" w:fill="FFFFFF"/>
          <w:lang w:val="en-US" w:eastAsia="zh-CN" w:bidi="ar"/>
        </w:rPr>
      </w:pPr>
      <w:r>
        <w:rPr>
          <w:rFonts w:hint="eastAsia" w:ascii="仿宋" w:hAnsi="仿宋" w:eastAsia="仿宋" w:cs="仿宋"/>
          <w:w w:val="95"/>
          <w:kern w:val="0"/>
          <w:sz w:val="32"/>
          <w:szCs w:val="32"/>
          <w:shd w:val="clear" w:fill="FFFFFF"/>
          <w:lang w:val="en-US" w:eastAsia="zh-CN" w:bidi="ar"/>
        </w:rPr>
        <w:t>海南省外事侨务办公室2015年度财政拨款支出</w:t>
      </w:r>
      <w:r>
        <w:rPr>
          <w:rFonts w:hint="eastAsia" w:ascii="仿宋" w:hAnsi="仿宋" w:eastAsia="仿宋" w:cs="仿宋"/>
          <w:kern w:val="0"/>
          <w:sz w:val="32"/>
          <w:szCs w:val="32"/>
          <w:shd w:val="clear" w:fill="FFFFFF"/>
          <w:lang w:val="en-US" w:eastAsia="zh-CN" w:bidi="ar"/>
        </w:rPr>
        <w:t>5,487.43万元，其中一般公共预算财政拨款支出5,417.43万元。主要用于以下方面：</w:t>
      </w:r>
      <w:r>
        <w:rPr>
          <w:rFonts w:hint="eastAsia" w:ascii="仿宋" w:hAnsi="仿宋" w:eastAsia="仿宋" w:cs="仿宋"/>
          <w:b w:val="0"/>
          <w:bCs/>
          <w:kern w:val="0"/>
          <w:sz w:val="32"/>
          <w:szCs w:val="32"/>
          <w:shd w:val="clear" w:fill="FFFFFF"/>
          <w:lang w:val="en-US" w:eastAsia="zh-CN" w:bidi="ar"/>
        </w:rPr>
        <w:t>一般公共服务（类）支出520.65万元，占9.61%；外交支出（类）4,118.81万元，占76.03%；社会保障和就业（类）支出591.23万元，占10.91%；医疗卫生与计划生育支出（类）支出33.04万元，占0.61%；住房保障支出（类）支出153.7万元，占2.84%。</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30" w:firstLineChars="196"/>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（六）关于海南省外事侨务办公室2015年度一般公共预算财政拨款基本支出决算情况说明</w:t>
      </w:r>
    </w:p>
    <w:p>
      <w:pPr>
        <w:keepNext w:val="0"/>
        <w:keepLines w:val="0"/>
        <w:pageBreakBefore w:val="0"/>
        <w:widowControl/>
        <w:suppressLineNumbers w:val="0"/>
        <w:tabs>
          <w:tab w:val="center" w:pos="4473"/>
        </w:tabs>
        <w:kinsoku/>
        <w:wordWrap/>
        <w:overflowPunct/>
        <w:topLinePunct w:val="0"/>
        <w:autoSpaceDE/>
        <w:autoSpaceDN/>
        <w:bidi w:val="0"/>
        <w:adjustRightInd/>
        <w:snapToGrid w:val="0"/>
        <w:spacing w:before="100" w:beforeAutospacing="1" w:afterAutospacing="0" w:line="500" w:lineRule="exact"/>
        <w:ind w:left="0" w:leftChars="0" w:right="76"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海南省外事侨务办公室2015年度财政拨款基本支出2,331.33万元，其中：人员经费2115.69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204.71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其他资本性支出10.94万元，主要包括：办公设备购置及信息网络及软件购置更新。</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（八）其他重要事项的情况说明</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1.机关运行经费支出情况。</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2015年度海南省外事侨务办公室部门机关运行经费支</w:t>
      </w:r>
      <w:r>
        <w:rPr>
          <w:rFonts w:hint="eastAsia" w:ascii="仿宋" w:hAnsi="仿宋" w:eastAsia="仿宋" w:cs="仿宋"/>
          <w:w w:val="95"/>
          <w:kern w:val="0"/>
          <w:sz w:val="32"/>
          <w:szCs w:val="32"/>
          <w:shd w:val="clear" w:fill="FFFFFF"/>
          <w:lang w:val="en-US" w:eastAsia="zh-CN" w:bidi="ar"/>
        </w:rPr>
        <w:t>出1488.79万元，比2014年度增加190.47万元，增长</w:t>
      </w:r>
      <w:r>
        <w:rPr>
          <w:rFonts w:hint="eastAsia" w:ascii="仿宋" w:hAnsi="仿宋" w:eastAsia="仿宋" w:cs="仿宋"/>
          <w:kern w:val="0"/>
          <w:sz w:val="32"/>
          <w:szCs w:val="32"/>
          <w:shd w:val="clear" w:fill="FFFFFF"/>
          <w:lang w:val="en-US" w:eastAsia="zh-CN" w:bidi="ar"/>
        </w:rPr>
        <w:t>14.67%。</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3" w:firstLineChars="200"/>
        <w:jc w:val="left"/>
        <w:textAlignment w:val="auto"/>
        <w:outlineLvl w:val="9"/>
        <w:rPr>
          <w:rFonts w:hint="eastAsia" w:ascii="仿宋" w:hAnsi="仿宋" w:eastAsia="仿宋" w:cs="仿宋"/>
          <w:sz w:val="32"/>
          <w:szCs w:val="32"/>
        </w:rPr>
      </w:pPr>
      <w:r>
        <w:rPr>
          <w:rFonts w:hint="eastAsia" w:ascii="仿宋" w:hAnsi="仿宋" w:eastAsia="仿宋" w:cs="仿宋"/>
          <w:b/>
          <w:bCs w:val="0"/>
          <w:kern w:val="0"/>
          <w:sz w:val="32"/>
          <w:szCs w:val="32"/>
          <w:shd w:val="clear" w:fill="FFFFFF"/>
          <w:lang w:val="en-US" w:eastAsia="zh-CN" w:bidi="ar"/>
        </w:rPr>
        <w:t>2.国有资产占用情况。</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截至2015年12月31日，海南省外事侨务办公室部门共有车辆11辆，其中，一般公务用车5辆，接待用车6辆。</w:t>
      </w:r>
    </w:p>
    <w:p>
      <w:pPr>
        <w:keepNext w:val="0"/>
        <w:keepLines w:val="0"/>
        <w:pageBreakBefore w:val="0"/>
        <w:widowControl/>
        <w:suppressLineNumbers w:val="0"/>
        <w:kinsoku/>
        <w:wordWrap/>
        <w:overflowPunct/>
        <w:topLinePunct w:val="0"/>
        <w:autoSpaceDE/>
        <w:autoSpaceDN/>
        <w:bidi w:val="0"/>
        <w:adjustRightInd/>
        <w:snapToGrid w:val="0"/>
        <w:spacing w:before="100" w:beforeAutospacing="1" w:afterAutospacing="0" w:line="500" w:lineRule="exact"/>
        <w:ind w:left="0" w:leftChars="0" w:right="76" w:rightChars="0"/>
        <w:jc w:val="left"/>
        <w:textAlignment w:val="auto"/>
        <w:outlineLvl w:val="9"/>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附表： 1.收入支出决算总表</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 xml:space="preserve">       2.收入决算表</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 xml:space="preserve">       3.支出决算表</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645"/>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 xml:space="preserve">       4.财政拨款收入支出决算总表</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1760" w:firstLineChars="55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5.一般公共预算财政拨款支出决算表</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1760" w:firstLineChars="55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6.一般公共预算财政拨款基本支出决算表</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1760" w:firstLineChars="55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7.</w:t>
      </w:r>
      <w:r>
        <w:rPr>
          <w:rFonts w:hint="eastAsia" w:ascii="仿宋" w:hAnsi="仿宋" w:eastAsia="仿宋" w:cs="仿宋"/>
          <w:w w:val="93"/>
          <w:kern w:val="0"/>
          <w:sz w:val="32"/>
          <w:szCs w:val="32"/>
          <w:shd w:val="clear" w:fill="FFFFFF"/>
          <w:lang w:val="en-US" w:eastAsia="zh-CN" w:bidi="ar"/>
        </w:rPr>
        <w:t>一般公共预算财政拨款“三公”经费支出决</w:t>
      </w:r>
      <w:r>
        <w:rPr>
          <w:rFonts w:hint="eastAsia" w:ascii="仿宋" w:hAnsi="仿宋" w:eastAsia="仿宋" w:cs="仿宋"/>
          <w:kern w:val="0"/>
          <w:sz w:val="32"/>
          <w:szCs w:val="32"/>
          <w:shd w:val="clear" w:fill="FFFFFF"/>
          <w:lang w:val="en-US" w:eastAsia="zh-CN" w:bidi="ar"/>
        </w:rPr>
        <w:t>算表</w:t>
      </w:r>
    </w:p>
    <w:p>
      <w:pPr>
        <w:keepNext w:val="0"/>
        <w:keepLines w:val="0"/>
        <w:pageBreakBefore w:val="0"/>
        <w:widowControl/>
        <w:suppressLineNumbers w:val="0"/>
        <w:kinsoku/>
        <w:wordWrap/>
        <w:overflowPunct/>
        <w:topLinePunct w:val="0"/>
        <w:autoSpaceDE/>
        <w:autoSpaceDN/>
        <w:bidi w:val="0"/>
        <w:adjustRightInd/>
        <w:snapToGrid w:val="0"/>
        <w:spacing w:before="0" w:beforeAutospacing="1" w:afterAutospacing="0" w:line="400" w:lineRule="exact"/>
        <w:ind w:left="0" w:right="76" w:firstLine="1760" w:firstLineChars="55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t>8.政府性基金预算财政拨款收入支出决算表</w:t>
      </w:r>
    </w:p>
    <w:p>
      <w:pPr>
        <w:keepNext w:val="0"/>
        <w:keepLines w:val="0"/>
        <w:widowControl/>
        <w:suppressLineNumbers w:val="0"/>
        <w:snapToGrid w:val="0"/>
        <w:spacing w:before="0" w:beforeAutospacing="1" w:after="0" w:afterAutospacing="1"/>
        <w:ind w:left="0" w:right="76" w:firstLine="420" w:firstLineChars="200"/>
        <w:jc w:val="left"/>
      </w:pPr>
      <w:r>
        <w:rPr>
          <w:rFonts w:asciiTheme="minorHAnsi" w:hAnsiTheme="minorHAnsi" w:eastAsiaTheme="minorEastAsia" w:cstheme="minorBidi"/>
          <w:kern w:val="0"/>
          <w:sz w:val="24"/>
          <w:szCs w:val="24"/>
          <w:shd w:val="clear" w:fill="FFFFFF"/>
          <w:lang w:val="en-US" w:eastAsia="zh-CN" w:bidi="ar"/>
        </w:rPr>
        <w:t> </w:t>
      </w:r>
    </w:p>
    <w:p>
      <w:pPr>
        <w:keepNext w:val="0"/>
        <w:keepLines w:val="0"/>
        <w:widowControl/>
        <w:suppressLineNumbers w:val="0"/>
        <w:snapToGrid w:val="0"/>
        <w:spacing w:before="0" w:beforeAutospacing="1" w:after="0" w:afterAutospacing="1"/>
        <w:ind w:left="0" w:right="76"/>
        <w:jc w:val="left"/>
      </w:pPr>
      <w:r>
        <w:rPr>
          <w:rFonts w:hint="default" w:ascii="仿宋_GB2312" w:eastAsia="仿宋_GB2312" w:cs="仿宋_GB2312" w:hAnsiTheme="minorHAnsi"/>
          <w:kern w:val="0"/>
          <w:sz w:val="32"/>
          <w:szCs w:val="32"/>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roman"/>
    <w:pitch w:val="default"/>
    <w:sig w:usb0="A00002FF" w:usb1="28CFFCFA" w:usb2="00000016" w:usb3="00000000" w:csb0="00100001" w:csb1="00000000"/>
  </w:font>
  <w:font w:name="Optimum">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Univers">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挀甀洀攀渀">
    <w:altName w:val="仿宋"/>
    <w:panose1 w:val="00000000000000000000"/>
    <w:charset w:val="86"/>
    <w:family w:val="auto"/>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Narrow">
    <w:panose1 w:val="020B0606020202030204"/>
    <w:charset w:val="00"/>
    <w:family w:val="decorative"/>
    <w:pitch w:val="default"/>
    <w:sig w:usb0="00000287" w:usb1="00000800" w:usb2="00000000" w:usb3="00000000" w:csb0="2000009F" w:csb1="DFD70000"/>
  </w:font>
  <w:font w:name="仿宋_GB2312">
    <w:altName w:val="仿宋"/>
    <w:panose1 w:val="02010609030101010101"/>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PMingLiU">
    <w:panose1 w:val="02020500000000000000"/>
    <w:charset w:val="88"/>
    <w:family w:val="modern"/>
    <w:pitch w:val="default"/>
    <w:sig w:usb0="A00002FF" w:usb1="28CFFCFA" w:usb2="00000016" w:usb3="00000000" w:csb0="0010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Univers">
    <w:altName w:val="Arial"/>
    <w:panose1 w:val="00000000000000000000"/>
    <w:charset w:val="00"/>
    <w:family w:val="decorative"/>
    <w:pitch w:val="default"/>
    <w:sig w:usb0="00000000" w:usb1="00000000" w:usb2="00000000" w:usb3="00000000" w:csb0="00000001" w:csb1="00000000"/>
  </w:font>
  <w:font w:name="Garamond">
    <w:panose1 w:val="02020404030301010803"/>
    <w:charset w:val="00"/>
    <w:family w:val="modern"/>
    <w:pitch w:val="default"/>
    <w:sig w:usb0="00000287" w:usb1="00000000" w:usb2="00000000" w:usb3="00000000" w:csb0="0000009F" w:csb1="DFD7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Arial Unicode MS">
    <w:panose1 w:val="020B0604020202020204"/>
    <w:charset w:val="86"/>
    <w:family w:val="modern"/>
    <w:pitch w:val="default"/>
    <w:sig w:usb0="FFFFFFFF" w:usb1="E9FFFFFF" w:usb2="0000003F" w:usb3="00000000" w:csb0="603F01FF" w:csb1="FFFF0000"/>
  </w:font>
  <w:font w:name="仿宋">
    <w:panose1 w:val="02010609060101010101"/>
    <w:charset w:val="86"/>
    <w:family w:val="decorative"/>
    <w:pitch w:val="default"/>
    <w:sig w:usb0="800002BF" w:usb1="38CF7CFA" w:usb2="00000016" w:usb3="00000000" w:csb0="00040001" w:csb1="00000000"/>
  </w:font>
  <w:font w:name="Arial Narrow">
    <w:panose1 w:val="020B0606020202030204"/>
    <w:charset w:val="00"/>
    <w:family w:val="roman"/>
    <w:pitch w:val="default"/>
    <w:sig w:usb0="00000287" w:usb1="00000800" w:usb2="00000000" w:usb3="00000000" w:csb0="2000009F" w:csb1="DFD70000"/>
  </w:font>
  <w:font w:name="仿宋_GB2312">
    <w:altName w:val="仿宋"/>
    <w:panose1 w:val="02010609030101010101"/>
    <w:charset w:val="86"/>
    <w:family w:val="decorative"/>
    <w:pitch w:val="default"/>
    <w:sig w:usb0="00000000" w:usb1="00000000" w:usb2="00000010" w:usb3="00000000" w:csb0="00040000" w:csb1="00000000"/>
  </w:font>
  <w:font w:name="PMingLiU">
    <w:panose1 w:val="02020500000000000000"/>
    <w:charset w:val="88"/>
    <w:family w:val="swiss"/>
    <w:pitch w:val="default"/>
    <w:sig w:usb0="A00002FF" w:usb1="28CFFCFA" w:usb2="00000016" w:usb3="00000000" w:csb0="00100001"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Univers">
    <w:altName w:val="Arial"/>
    <w:panose1 w:val="00000000000000000000"/>
    <w:charset w:val="00"/>
    <w:family w:val="roman"/>
    <w:pitch w:val="default"/>
    <w:sig w:usb0="00000000" w:usb1="00000000" w:usb2="00000000" w:usb3="00000000" w:csb0="00000001" w:csb1="00000000"/>
  </w:font>
  <w:font w:name="Garamond">
    <w:panose1 w:val="02020404030301010803"/>
    <w:charset w:val="00"/>
    <w:family w:val="swiss"/>
    <w:pitch w:val="default"/>
    <w:sig w:usb0="00000287" w:usb1="00000000" w:usb2="00000000" w:usb3="00000000" w:csb0="0000009F" w:csb1="DFD7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roman"/>
    <w:pitch w:val="default"/>
    <w:sig w:usb0="800002BF" w:usb1="38CF7CFA" w:usb2="00000016" w:usb3="00000000" w:csb0="00040001" w:csb1="00000000"/>
  </w:font>
  <w:font w:name="Arial Narrow">
    <w:panose1 w:val="020B0606020202030204"/>
    <w:charset w:val="00"/>
    <w:family w:val="modern"/>
    <w:pitch w:val="default"/>
    <w:sig w:usb0="00000287" w:usb1="00000800" w:usb2="00000000" w:usb3="00000000" w:csb0="2000009F" w:csb1="DFD7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2728451">
    <w:nsid w:val="57C80D83"/>
    <w:multiLevelType w:val="singleLevel"/>
    <w:tmpl w:val="57C80D83"/>
    <w:lvl w:ilvl="0" w:tentative="1">
      <w:start w:val="1"/>
      <w:numFmt w:val="chineseCounting"/>
      <w:suff w:val="nothing"/>
      <w:lvlText w:val="（%1）"/>
      <w:lvlJc w:val="left"/>
    </w:lvl>
  </w:abstractNum>
  <w:num w:numId="1">
    <w:abstractNumId w:val="14727284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368FD"/>
    <w:rsid w:val="01006CB0"/>
    <w:rsid w:val="03E60C72"/>
    <w:rsid w:val="04452310"/>
    <w:rsid w:val="0A002AF6"/>
    <w:rsid w:val="0B486311"/>
    <w:rsid w:val="0BDB587F"/>
    <w:rsid w:val="1169429C"/>
    <w:rsid w:val="11B33417"/>
    <w:rsid w:val="135350C1"/>
    <w:rsid w:val="18363646"/>
    <w:rsid w:val="198F297E"/>
    <w:rsid w:val="1A9E2B3B"/>
    <w:rsid w:val="1D2E40EE"/>
    <w:rsid w:val="1EF34CD3"/>
    <w:rsid w:val="1FAB7D05"/>
    <w:rsid w:val="1FCB27B8"/>
    <w:rsid w:val="219A2928"/>
    <w:rsid w:val="25163BE4"/>
    <w:rsid w:val="26AA1A7C"/>
    <w:rsid w:val="2A3B6454"/>
    <w:rsid w:val="2ADE14E1"/>
    <w:rsid w:val="2DC8572C"/>
    <w:rsid w:val="30AB0CE7"/>
    <w:rsid w:val="328E4700"/>
    <w:rsid w:val="37C25F06"/>
    <w:rsid w:val="382117A3"/>
    <w:rsid w:val="38EB6C6E"/>
    <w:rsid w:val="3CDB4965"/>
    <w:rsid w:val="3E613867"/>
    <w:rsid w:val="40B52A37"/>
    <w:rsid w:val="40D62F6B"/>
    <w:rsid w:val="419C06AB"/>
    <w:rsid w:val="43D76DDC"/>
    <w:rsid w:val="448E3087"/>
    <w:rsid w:val="46A90357"/>
    <w:rsid w:val="4AB851A6"/>
    <w:rsid w:val="4B14423A"/>
    <w:rsid w:val="4F707062"/>
    <w:rsid w:val="4FD7228A"/>
    <w:rsid w:val="5AAA3A4D"/>
    <w:rsid w:val="5B397E38"/>
    <w:rsid w:val="606210AF"/>
    <w:rsid w:val="625649E2"/>
    <w:rsid w:val="64E2758F"/>
    <w:rsid w:val="679E6083"/>
    <w:rsid w:val="6CC42F7D"/>
    <w:rsid w:val="6DDB5FC9"/>
    <w:rsid w:val="6E7B7857"/>
    <w:rsid w:val="72501D1B"/>
    <w:rsid w:val="74C3179F"/>
    <w:rsid w:val="761F61D8"/>
    <w:rsid w:val="768C460E"/>
    <w:rsid w:val="78C12F29"/>
    <w:rsid w:val="792A70D5"/>
    <w:rsid w:val="79D52DF1"/>
    <w:rsid w:val="79D97279"/>
    <w:rsid w:val="7B365E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tabs>
        <w:tab w:val="left" w:pos="0"/>
      </w:tabs>
      <w:spacing w:before="60" w:after="60"/>
      <w:outlineLvl w:val="0"/>
    </w:pPr>
    <w:rPr>
      <w:rFonts w:ascii="Optimum" w:hAnsi="Optimum"/>
      <w:b/>
    </w:rPr>
  </w:style>
  <w:style w:type="character" w:default="1" w:styleId="3">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character" w:styleId="4">
    <w:name w:val="HTML Definition"/>
    <w:basedOn w:val="3"/>
    <w:qFormat/>
    <w:uiPriority w:val="0"/>
  </w:style>
  <w:style w:type="character" w:styleId="5">
    <w:name w:val="HTML Variable"/>
    <w:basedOn w:val="3"/>
    <w:qFormat/>
    <w:uiPriority w:val="0"/>
  </w:style>
  <w:style w:type="character" w:styleId="6">
    <w:name w:val="Hyperlink"/>
    <w:basedOn w:val="3"/>
    <w:qFormat/>
    <w:uiPriority w:val="0"/>
    <w:rPr>
      <w:color w:val="0000FF"/>
      <w:u w:val="none"/>
    </w:rPr>
  </w:style>
  <w:style w:type="character" w:styleId="7">
    <w:name w:val="HTML Code"/>
    <w:basedOn w:val="3"/>
    <w:qFormat/>
    <w:uiPriority w:val="0"/>
    <w:rPr>
      <w:rFonts w:ascii="Courier New" w:hAnsi="Courier New"/>
      <w:sz w:val="20"/>
    </w:rPr>
  </w:style>
  <w:style w:type="character" w:styleId="8">
    <w:name w:val="HTML Cite"/>
    <w:basedOn w:val="3"/>
    <w:qFormat/>
    <w:uiPriority w:val="0"/>
    <w:rPr>
      <w:u w:val="none"/>
    </w:rPr>
  </w:style>
  <w:style w:type="character" w:customStyle="1" w:styleId="10">
    <w:name w:val="button-hover"/>
    <w:basedOn w:val="3"/>
    <w:qFormat/>
    <w:uiPriority w:val="0"/>
  </w:style>
  <w:style w:type="character" w:customStyle="1" w:styleId="11">
    <w:name w:val="button-hover1"/>
    <w:basedOn w:val="3"/>
    <w:qFormat/>
    <w:uiPriority w:val="0"/>
  </w:style>
  <w:style w:type="character" w:customStyle="1" w:styleId="12">
    <w:name w:val="imgspan"/>
    <w:basedOn w:val="3"/>
    <w:qFormat/>
    <w:uiPriority w:val="0"/>
  </w:style>
  <w:style w:type="character" w:customStyle="1" w:styleId="13">
    <w:name w:val="ui-state-hover"/>
    <w:basedOn w:val="3"/>
    <w:qFormat/>
    <w:uiPriority w:val="0"/>
  </w:style>
  <w:style w:type="character" w:customStyle="1" w:styleId="14">
    <w:name w:val="newstitle"/>
    <w:basedOn w:val="3"/>
    <w:qFormat/>
    <w:uiPriority w:val="0"/>
    <w:rPr>
      <w:b/>
      <w:color w:val="000000"/>
      <w:sz w:val="24"/>
      <w:szCs w:val="24"/>
    </w:rPr>
  </w:style>
  <w:style w:type="character" w:customStyle="1" w:styleId="15">
    <w:name w:val="clicked1"/>
    <w:basedOn w:val="3"/>
    <w:qFormat/>
    <w:uiPriority w:val="0"/>
  </w:style>
  <w:style w:type="character" w:customStyle="1" w:styleId="16">
    <w:name w:val="clicked2"/>
    <w:basedOn w:val="3"/>
    <w:qFormat/>
    <w:uiPriority w:val="0"/>
    <w:rPr>
      <w:color w:val="000000"/>
    </w:rPr>
  </w:style>
  <w:style w:type="character" w:customStyle="1" w:styleId="17">
    <w:name w:val="clicked3"/>
    <w:basedOn w:val="3"/>
    <w:qFormat/>
    <w:uiPriority w:val="0"/>
  </w:style>
  <w:style w:type="character" w:customStyle="1" w:styleId="18">
    <w:name w:val="group"/>
    <w:basedOn w:val="3"/>
    <w:qFormat/>
    <w:uiPriority w:val="0"/>
  </w:style>
  <w:style w:type="character" w:customStyle="1" w:styleId="19">
    <w:name w:val="ui-icon34"/>
    <w:basedOn w:val="3"/>
    <w:qFormat/>
    <w:uiPriority w:val="0"/>
  </w:style>
  <w:style w:type="character" w:customStyle="1" w:styleId="20">
    <w:name w:val="image"/>
    <w:basedOn w:val="3"/>
    <w:qFormat/>
    <w:uiPriority w:val="0"/>
  </w:style>
  <w:style w:type="character" w:customStyle="1" w:styleId="21">
    <w:name w:val="image1"/>
    <w:basedOn w:val="3"/>
    <w:qFormat/>
    <w:uiPriority w:val="0"/>
  </w:style>
  <w:style w:type="character" w:customStyle="1" w:styleId="22">
    <w:name w:val="image2"/>
    <w:basedOn w:val="3"/>
    <w:qFormat/>
    <w:uiPriority w:val="0"/>
  </w:style>
  <w:style w:type="character" w:customStyle="1" w:styleId="23">
    <w:name w:val="ui-state-default9"/>
    <w:basedOn w:val="3"/>
    <w:qFormat/>
    <w:uiPriority w:val="0"/>
  </w:style>
  <w:style w:type="character" w:customStyle="1" w:styleId="24">
    <w:name w:val="ui-state-default10"/>
    <w:basedOn w:val="3"/>
    <w:qFormat/>
    <w:uiPriority w:val="0"/>
  </w:style>
  <w:style w:type="character" w:customStyle="1" w:styleId="25">
    <w:name w:val="directchildrenspan"/>
    <w:basedOn w:val="3"/>
    <w:qFormat/>
    <w:uiPriority w:val="0"/>
  </w:style>
  <w:style w:type="character" w:customStyle="1" w:styleId="26">
    <w:name w:val="item-middle"/>
    <w:basedOn w:val="3"/>
    <w:qFormat/>
    <w:uiPriority w:val="0"/>
  </w:style>
  <w:style w:type="character" w:customStyle="1" w:styleId="27">
    <w:name w:val="ui-state-active6"/>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2016-09-02T03:12:48Z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