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B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5F7F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208E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报 价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bookmarkEnd w:id="0"/>
    <w:p w14:paraId="531B4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67EA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单位：万元</w:t>
      </w: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49"/>
        <w:gridCol w:w="1470"/>
        <w:gridCol w:w="1068"/>
      </w:tblGrid>
      <w:tr w14:paraId="50B3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30" w:type="dxa"/>
            <w:noWrap w:val="0"/>
            <w:vAlign w:val="center"/>
          </w:tcPr>
          <w:p w14:paraId="194FB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849" w:type="dxa"/>
            <w:noWrap w:val="0"/>
            <w:vAlign w:val="center"/>
          </w:tcPr>
          <w:p w14:paraId="5A3F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项目内容</w:t>
            </w:r>
          </w:p>
        </w:tc>
        <w:tc>
          <w:tcPr>
            <w:tcW w:w="1470" w:type="dxa"/>
            <w:noWrap w:val="0"/>
            <w:vAlign w:val="center"/>
          </w:tcPr>
          <w:p w14:paraId="48830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预算控制价</w:t>
            </w:r>
          </w:p>
        </w:tc>
        <w:tc>
          <w:tcPr>
            <w:tcW w:w="1068" w:type="dxa"/>
            <w:noWrap w:val="0"/>
            <w:vAlign w:val="center"/>
          </w:tcPr>
          <w:p w14:paraId="5DB4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报价</w:t>
            </w:r>
          </w:p>
        </w:tc>
      </w:tr>
      <w:tr w14:paraId="7B7A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830" w:type="dxa"/>
            <w:noWrap w:val="0"/>
            <w:vAlign w:val="center"/>
          </w:tcPr>
          <w:p w14:paraId="3F24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短期外事政务信息化咨询服务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外包项目</w:t>
            </w:r>
          </w:p>
        </w:tc>
        <w:tc>
          <w:tcPr>
            <w:tcW w:w="2849" w:type="dxa"/>
            <w:noWrap w:val="0"/>
            <w:vAlign w:val="center"/>
          </w:tcPr>
          <w:p w14:paraId="75E3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详见《短期外事政务信息化咨询服务项目服务清单》</w:t>
            </w:r>
          </w:p>
        </w:tc>
        <w:tc>
          <w:tcPr>
            <w:tcW w:w="1470" w:type="dxa"/>
            <w:noWrap w:val="0"/>
            <w:vAlign w:val="center"/>
          </w:tcPr>
          <w:p w14:paraId="3D61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9.6万元</w:t>
            </w:r>
          </w:p>
        </w:tc>
        <w:tc>
          <w:tcPr>
            <w:tcW w:w="1068" w:type="dxa"/>
            <w:noWrap w:val="0"/>
            <w:vAlign w:val="center"/>
          </w:tcPr>
          <w:p w14:paraId="7E634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3BA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17" w:type="dxa"/>
            <w:gridSpan w:val="4"/>
            <w:noWrap w:val="0"/>
            <w:vAlign w:val="center"/>
          </w:tcPr>
          <w:p w14:paraId="097E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报价超出预算控制价上限，视为无效报价。</w:t>
            </w:r>
          </w:p>
        </w:tc>
      </w:tr>
    </w:tbl>
    <w:p w14:paraId="71111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="仿宋" w:hAnsi="仿宋" w:eastAsia="仿宋"/>
          <w:sz w:val="32"/>
          <w:szCs w:val="32"/>
        </w:rPr>
      </w:pPr>
    </w:p>
    <w:p w14:paraId="18C2B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="仿宋" w:hAnsi="仿宋" w:eastAsia="仿宋"/>
          <w:sz w:val="32"/>
          <w:szCs w:val="32"/>
        </w:rPr>
      </w:pPr>
    </w:p>
    <w:p w14:paraId="639E3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="仿宋" w:hAnsi="仿宋" w:eastAsia="仿宋"/>
          <w:sz w:val="32"/>
          <w:szCs w:val="32"/>
        </w:rPr>
      </w:pPr>
    </w:p>
    <w:p w14:paraId="7BA1E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 w14:paraId="54DFDA08">
      <w:pPr>
        <w:pStyle w:val="3"/>
        <w:rPr>
          <w:rFonts w:hint="default" w:ascii="黑体" w:hAnsi="黑体" w:eastAsia="黑体" w:cs="黑体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日期：2024年 12月  日</w:t>
      </w:r>
    </w:p>
    <w:p w14:paraId="105B7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672E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46D410AF"/>
    <w:rsid w:val="46D4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3">
    <w:name w:val="Body Text First Indent 2"/>
    <w:basedOn w:val="2"/>
    <w:qFormat/>
    <w:uiPriority w:val="0"/>
    <w:pPr>
      <w:spacing w:line="360" w:lineRule="auto"/>
      <w:ind w:firstLine="420"/>
    </w:pPr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2024-12-07T08:31:00Z</dcterms:created>
  <dc:creator>王冬妮</dc:creator>
  <cp:lastModifiedBy>王冬妮</cp:lastModifiedBy>
  <dcterms:modified xsi:type="dcterms:W3CDTF">2024-12-07T08:31:30Z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511F8BF3342E4AA1BF57D607140DC2A5_11</vt:lpwstr>
  </property>
</Properties>
</file>